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F863" w14:textId="77777777" w:rsidR="00B92C32" w:rsidRDefault="00FF1C74">
      <w:r>
        <w:rPr>
          <w:rFonts w:ascii="Verdana" w:hAnsi="Verdana"/>
          <w:color w:val="000000"/>
          <w:sz w:val="17"/>
          <w:szCs w:val="17"/>
          <w:shd w:val="clear" w:color="auto" w:fill="FFFFFF"/>
        </w:rPr>
        <w:t xml:space="preserve">Health Promotion Plan Presentation. Paper details Build a slide presentation (PowerPoint preferred) of the hypothetical health promotion plan you developed in the first assessment. Then, implement your health promotion plan by conducting a hypothetical face-to-face educational session addressing the health concern and health goals of your selected group. How would you set goals for the session, evaluate session outcomes, and suggest possible revisions to improve future sessions? As you begin to prepare this assessment, you are encouraged to complete the Vila Health: Conducting an Effective Educational Session activity. The information gained from completing this activity will help you succeed with the assessment as you consider key issues in conducting an effective educational session for a selected audience. Completing activities is also a way to demonstrate engagement. Professional Context Health education is any combination of learning experiences designed to help community individuals, families, and aggregates improve their health by increasing knowledge or influencing attitudes (WHO, n.d.). Education is key to health promotion, disease prevention, and disaster preparedness. The health indicator framework identified in Healthy People 2030 prompts action in health services accessibility, clinical preventive services, environmental quality, injury or violence prevention, maternal, infant, and child health, mental health, nutrition, substance abuse prevention, and tobacco use cessation or prevention. Nurses provide accurate evidence-based information and education in formal and informal settings. They draw upon evidence-based practice to provide health promotion and disease prevention activities to create social and physical environments conducive to improving and maintaining community health. When provided with the tools to be successful, people demonstrate lifestyle changes (self-care) that promote health and help reduce readmissions. They are better able to tolerate stressors, including environmental changes, and enjoy a better quality of life. In times of crisis, a resilient community is a safer community (Flanders, 2018; Healthy People 2030, n.d.). This assessment provides an opportunity for you to apply teaching and learning concepts to the presentation of a health promotion plan. Demonstration of Proficiency By successfully completing this assessment, you will demonstrate your proficiency in the following course competencies and assessment criteria: Competency 3: Evaluate health policies, based on their ability to achieve desired outcomes. Evaluate educational session outcomes in terms of progress made toward Healthy People 2030 objectives and leading health indicators. Competency 4: Integrate principles of social justice in community health interventions. Evaluate educational session outcomes and the attainment of agreed-upon health goals in collaboration with participants. Competency 5: Apply professional, scholarly communication strategies to lead health promotion and improve population health. Present a health promotion plan to an individual or group within a community. Organize content with clear purpose/goals and with relevant and evidence-based sources (published within 5 years). Slides are easy to read and error free. Detailed audio and speaker notes are provided. Audio is clear, organized, and professionally presented. References Flanders, S. A. (2018). Effective patient education: Evidence and common sense. </w:t>
      </w:r>
      <w:proofErr w:type="spellStart"/>
      <w:r>
        <w:rPr>
          <w:rFonts w:ascii="Verdana" w:hAnsi="Verdana"/>
          <w:color w:val="000000"/>
          <w:sz w:val="17"/>
          <w:szCs w:val="17"/>
          <w:shd w:val="clear" w:color="auto" w:fill="FFFFFF"/>
        </w:rPr>
        <w:t>Medsurg</w:t>
      </w:r>
      <w:proofErr w:type="spellEnd"/>
      <w:r>
        <w:rPr>
          <w:rFonts w:ascii="Verdana" w:hAnsi="Verdana"/>
          <w:color w:val="000000"/>
          <w:sz w:val="17"/>
          <w:szCs w:val="17"/>
          <w:shd w:val="clear" w:color="auto" w:fill="FFFFFF"/>
        </w:rPr>
        <w:t xml:space="preserve"> Nursing, 27(1), 55–58. U.S. Department of Health and Human Services, Office of Disease Prevention and Health Promotion. (n.d.). Healthy People 2030. https://health.gov/healthypeople Note: This is the second part of a two-part assessment. You must complete Assessment 1 before completing this assessment. Preparation For this assessment, you will conclude the clinical learning activity you began in Assessment 1. You will resume the role of a community nurse tasked with addressing the specific health concern in your community. This time, you will present, via educational outreach, the hypothetical health promotion plan you developed in Assessment 1 to your fictitious audience. In this hypothetical scenario, you will simulate the presentation as though it would be live and face-to-face. You must determine an effective teaching strategy, communicate the plan with professionalism and cultural sensitivity, evaluate the objectives of the plan, revise the plan as applicable, and propose improvement for future educational sessions. To engage your audience, you decide to develop a PowerPoint presentation with voice-over and speaker notes to communicate your plan. Remember that your first assessment (Assessment 1) MUST be satisfactorily completed to initiate this assessment (Assessment 4). Please review the assessment scoring guide for more information. To prepare for the assessment, you are encouraged to complete the Vila Health: Conducting an Effective Educational Session simulation. You may also wish to review the health promotion plan presentation assessment and scoring guide to ensure that you understand all requirements. Note: Remember that you can submit all, or a portion of, your draft plan to </w:t>
      </w:r>
      <w:proofErr w:type="spellStart"/>
      <w:r>
        <w:rPr>
          <w:rFonts w:ascii="Verdana" w:hAnsi="Verdana"/>
          <w:color w:val="000000"/>
          <w:sz w:val="17"/>
          <w:szCs w:val="17"/>
          <w:shd w:val="clear" w:color="auto" w:fill="FFFFFF"/>
        </w:rPr>
        <w:t>Smarthinking</w:t>
      </w:r>
      <w:proofErr w:type="spellEnd"/>
      <w:r>
        <w:rPr>
          <w:rFonts w:ascii="Verdana" w:hAnsi="Verdana"/>
          <w:color w:val="000000"/>
          <w:sz w:val="17"/>
          <w:szCs w:val="17"/>
          <w:shd w:val="clear" w:color="auto" w:fill="FFFFFF"/>
        </w:rPr>
        <w:t xml:space="preserve"> Tutoring for feedback before you submit the final version for this assessment. If you plan on using this free service, be mindful of the turnaround time of 24–48 hours for receiving feedback.</w:t>
      </w:r>
    </w:p>
    <w:sectPr w:rsidR="00B9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74"/>
    <w:rsid w:val="00842D54"/>
    <w:rsid w:val="00B92C32"/>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4505"/>
  <w15:chartTrackingRefBased/>
  <w15:docId w15:val="{4E83A843-E0B5-46D5-A362-474D4D2E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2022-05-23T16:32:00Z</dcterms:created>
  <dcterms:modified xsi:type="dcterms:W3CDTF">2022-05-23T16:32:00Z</dcterms:modified>
</cp:coreProperties>
</file>